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w:t>
      </w:r>
      <w:r>
        <w:rPr>
          <w:rFonts w:hint="eastAsia" w:ascii="黑体" w:hAnsi="黑体" w:eastAsia="黑体"/>
          <w:color w:val="auto"/>
          <w:sz w:val="32"/>
          <w:szCs w:val="32"/>
          <w:lang w:val="en-US" w:eastAsia="zh-CN"/>
        </w:rPr>
        <w:t>2-2</w:t>
      </w:r>
    </w:p>
    <w:tbl>
      <w:tblPr>
        <w:tblStyle w:val="4"/>
        <w:tblW w:w="8928" w:type="dxa"/>
        <w:jc w:val="center"/>
        <w:tblLayout w:type="fixed"/>
        <w:tblCellMar>
          <w:top w:w="0" w:type="dxa"/>
          <w:left w:w="108" w:type="dxa"/>
          <w:bottom w:w="0" w:type="dxa"/>
          <w:right w:w="108" w:type="dxa"/>
        </w:tblCellMar>
      </w:tblPr>
      <w:tblGrid>
        <w:gridCol w:w="578"/>
        <w:gridCol w:w="969"/>
        <w:gridCol w:w="1086"/>
        <w:gridCol w:w="718"/>
        <w:gridCol w:w="1114"/>
        <w:gridCol w:w="37"/>
        <w:gridCol w:w="1095"/>
        <w:gridCol w:w="855"/>
        <w:gridCol w:w="170"/>
        <w:gridCol w:w="355"/>
        <w:gridCol w:w="416"/>
        <w:gridCol w:w="379"/>
        <w:gridCol w:w="457"/>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 xml:space="preserve">（ </w:t>
            </w:r>
            <w:r>
              <w:rPr>
                <w:rFonts w:hint="eastAsia" w:ascii="宋体" w:hAnsi="宋体" w:cs="宋体"/>
                <w:color w:val="auto"/>
                <w:kern w:val="0"/>
                <w:sz w:val="22"/>
                <w:lang w:val="en-US" w:eastAsia="zh-CN"/>
              </w:rPr>
              <w:t>2024</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水法宣传服务</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5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Cs w:val="21"/>
                <w:lang w:val="en-US" w:eastAsia="zh-CN"/>
                <w14:textFill>
                  <w14:solidFill>
                    <w14:schemeClr w14:val="tx1"/>
                  </w14:solidFill>
                </w14:textFill>
              </w:rPr>
              <w:t>北京市通州区水务局</w:t>
            </w:r>
          </w:p>
        </w:tc>
        <w:tc>
          <w:tcPr>
            <w:tcW w:w="1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Cs w:val="21"/>
                <w:lang w:val="en-US" w:eastAsia="zh-CN"/>
                <w14:textFill>
                  <w14:solidFill>
                    <w14:schemeClr w14:val="tx1"/>
                  </w14:solidFill>
                </w14:textFill>
              </w:rPr>
              <w:t>北京市通州区水务局</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5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1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bookmarkStart w:id="2" w:name="_GoBack"/>
            <w:bookmarkEnd w:id="2"/>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年初</w:t>
            </w:r>
            <w:r>
              <w:rPr>
                <w:rFonts w:hint="eastAsia" w:ascii="宋体" w:hAnsi="宋体" w:cs="宋体"/>
                <w:color w:val="000000" w:themeColor="text1"/>
                <w:kern w:val="0"/>
                <w:sz w:val="18"/>
                <w:szCs w:val="18"/>
                <w:lang w:val="en-US" w:eastAsia="zh-CN"/>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预算数</w:t>
            </w: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全年</w:t>
            </w:r>
            <w:r>
              <w:rPr>
                <w:rFonts w:hint="eastAsia" w:ascii="宋体" w:hAnsi="宋体" w:cs="宋体"/>
                <w:color w:val="000000" w:themeColor="text1"/>
                <w:kern w:val="0"/>
                <w:sz w:val="18"/>
                <w:szCs w:val="18"/>
                <w:lang w:val="en-US" w:eastAsia="zh-CN"/>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预算数</w:t>
            </w:r>
          </w:p>
        </w:tc>
        <w:tc>
          <w:tcPr>
            <w:tcW w:w="1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全年</w:t>
            </w:r>
            <w:r>
              <w:rPr>
                <w:rFonts w:hint="eastAsia" w:ascii="宋体" w:hAnsi="宋体" w:cs="宋体"/>
                <w:color w:val="000000" w:themeColor="text1"/>
                <w:kern w:val="0"/>
                <w:sz w:val="18"/>
                <w:szCs w:val="18"/>
                <w:lang w:val="en-US" w:eastAsia="zh-CN"/>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Cs w:val="21"/>
                <w:lang w:val="en-US" w:eastAsia="zh-CN"/>
                <w14:textFill>
                  <w14:solidFill>
                    <w14:schemeClr w14:val="tx1"/>
                  </w14:solidFill>
                </w14:textFill>
              </w:rPr>
              <w:t>10.00万</w:t>
            </w: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Cs w:val="21"/>
                <w:lang w:val="en-US" w:eastAsia="zh-CN"/>
                <w14:textFill>
                  <w14:solidFill>
                    <w14:schemeClr w14:val="tx1"/>
                  </w14:solidFill>
                </w14:textFill>
              </w:rPr>
              <w:t>10.00万</w:t>
            </w:r>
          </w:p>
        </w:tc>
        <w:tc>
          <w:tcPr>
            <w:tcW w:w="1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Cs w:val="21"/>
                <w:lang w:val="en-US" w:eastAsia="zh-CN"/>
                <w14:textFill>
                  <w14:solidFill>
                    <w14:schemeClr w14:val="tx1"/>
                  </w14:solidFill>
                </w14:textFill>
              </w:rPr>
              <w:t>10.00万</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lang w:val="en-US" w:eastAsia="zh-CN"/>
                <w14:textFill>
                  <w14:solidFill>
                    <w14:schemeClr w14:val="tx1"/>
                  </w14:solidFill>
                </w14:textFill>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lang w:val="en-US" w:eastAsia="zh-CN" w:bidi="ar-SA"/>
                <w14:textFill>
                  <w14:solidFill>
                    <w14:schemeClr w14:val="tx1"/>
                  </w14:solidFill>
                </w14:textFill>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Cs w:val="21"/>
                <w:lang w:val="en-US" w:eastAsia="zh-CN"/>
                <w14:textFill>
                  <w14:solidFill>
                    <w14:schemeClr w14:val="tx1"/>
                  </w14:solidFill>
                </w14:textFill>
              </w:rPr>
              <w:t>10.00万</w:t>
            </w: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Cs w:val="21"/>
                <w:lang w:val="en-US" w:eastAsia="zh-CN"/>
                <w14:textFill>
                  <w14:solidFill>
                    <w14:schemeClr w14:val="tx1"/>
                  </w14:solidFill>
                </w14:textFill>
              </w:rPr>
              <w:t>10.00万</w:t>
            </w:r>
          </w:p>
        </w:tc>
        <w:tc>
          <w:tcPr>
            <w:tcW w:w="1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Cs w:val="21"/>
                <w:lang w:val="en-US" w:eastAsia="zh-CN"/>
                <w14:textFill>
                  <w14:solidFill>
                    <w14:schemeClr w14:val="tx1"/>
                  </w14:solidFill>
                </w14:textFill>
              </w:rPr>
              <w:t>10.00万</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501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31"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328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01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1、全面开展水法律、法规宣传活动。利用3·22"世界水日"和"中国水周"紧紧围绕宣传主题，开展大规模的主题水法规宣传活动，选择人流密集场所、布置会场，设立宣传咨询台，悬挂横幅，发放材料及发放宣传品等多种方式进行水法宣传。 </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w:t>
            </w:r>
            <w:bookmarkStart w:id="0" w:name="OLE_LINK1"/>
            <w:r>
              <w:rPr>
                <w:rFonts w:hint="eastAsia" w:ascii="宋体" w:hAnsi="宋体" w:cs="宋体"/>
                <w:color w:val="auto"/>
                <w:kern w:val="0"/>
                <w:sz w:val="18"/>
                <w:szCs w:val="18"/>
              </w:rPr>
              <w:t>落实群众路线教育，大力宣传水法律法规知识</w:t>
            </w:r>
            <w:bookmarkEnd w:id="0"/>
            <w:r>
              <w:rPr>
                <w:rFonts w:hint="eastAsia" w:ascii="宋体" w:hAnsi="宋体" w:cs="宋体"/>
                <w:color w:val="auto"/>
                <w:kern w:val="0"/>
                <w:sz w:val="18"/>
                <w:szCs w:val="18"/>
              </w:rPr>
              <w:t xml:space="preserve">；以发放水法宣传材料、水法宣传册及折页等形式下乡、进厂、进村、进校园进行全面广泛宣传； </w:t>
            </w:r>
            <w:r>
              <w:rPr>
                <w:rFonts w:hint="eastAsia" w:ascii="宋体" w:hAnsi="宋体" w:cs="宋体"/>
                <w:color w:val="auto"/>
                <w:kern w:val="0"/>
                <w:sz w:val="18"/>
                <w:szCs w:val="18"/>
              </w:rPr>
              <w:br w:type="textWrapping"/>
            </w:r>
            <w:r>
              <w:rPr>
                <w:rFonts w:hint="eastAsia" w:ascii="宋体" w:hAnsi="宋体" w:cs="宋体"/>
                <w:color w:val="auto"/>
                <w:kern w:val="0"/>
                <w:sz w:val="18"/>
                <w:szCs w:val="18"/>
              </w:rPr>
              <w:t xml:space="preserve"> 3、结合五月份"节水宣传周"和"12.4"</w:t>
            </w:r>
            <w:r>
              <w:rPr>
                <w:rFonts w:hint="eastAsia" w:ascii="宋体" w:hAnsi="宋体" w:cs="宋体"/>
                <w:color w:val="auto"/>
                <w:kern w:val="0"/>
                <w:sz w:val="18"/>
                <w:szCs w:val="18"/>
                <w:lang w:val="en-US" w:eastAsia="zh-CN"/>
              </w:rPr>
              <w:t>宪法</w:t>
            </w:r>
            <w:r>
              <w:rPr>
                <w:rFonts w:hint="eastAsia" w:ascii="宋体" w:hAnsi="宋体" w:cs="宋体"/>
                <w:color w:val="auto"/>
                <w:kern w:val="0"/>
                <w:sz w:val="18"/>
                <w:szCs w:val="18"/>
              </w:rPr>
              <w:t>宣传日进行日常宣传，广泛宣传我市面临的水资源形式，宣传水政方针政策、法律法规知识</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 xml:space="preserve">大力宣传水资源合理利用，普及科学用水常识。 4、利用融媒体进行广泛宣传。                                                                                                                                                                                 </w:t>
            </w:r>
          </w:p>
        </w:tc>
        <w:tc>
          <w:tcPr>
            <w:tcW w:w="3331"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2024年度根据水利部宣传教育中心和中国水利报社宣传品清单订购宣传品。</w:t>
            </w:r>
          </w:p>
          <w:p>
            <w:pPr>
              <w:widowControl/>
              <w:spacing w:line="240" w:lineRule="exact"/>
              <w:jc w:val="left"/>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2024年3月22日与北运河管理处联合开展直播宣传活动，通过现场采访、实境讲述、有奖问答方式进行宣传。现场设立咨询台，</w:t>
            </w:r>
            <w:r>
              <w:rPr>
                <w:rFonts w:hint="eastAsia" w:ascii="宋体" w:hAnsi="宋体" w:cs="宋体"/>
                <w:color w:val="auto"/>
                <w:kern w:val="0"/>
                <w:sz w:val="18"/>
                <w:szCs w:val="18"/>
              </w:rPr>
              <w:t>落实群众路线教育，大力宣传水法律法规知识</w:t>
            </w:r>
            <w:r>
              <w:rPr>
                <w:rFonts w:hint="eastAsia" w:ascii="宋体" w:hAnsi="宋体" w:cs="宋体"/>
                <w:color w:val="auto"/>
                <w:kern w:val="0"/>
                <w:sz w:val="18"/>
                <w:szCs w:val="18"/>
                <w:lang w:eastAsia="zh-CN"/>
              </w:rPr>
              <w:t>。</w:t>
            </w:r>
            <w:r>
              <w:rPr>
                <w:rFonts w:hint="eastAsia" w:ascii="宋体" w:hAnsi="宋体" w:cs="宋体"/>
                <w:color w:val="auto"/>
                <w:kern w:val="0"/>
                <w:sz w:val="18"/>
                <w:szCs w:val="18"/>
                <w:lang w:eastAsia="zh-CN"/>
              </w:rPr>
              <w:br w:type="textWrapping"/>
            </w:r>
            <w:r>
              <w:rPr>
                <w:rFonts w:hint="eastAsia" w:ascii="宋体" w:hAnsi="宋体" w:cs="宋体"/>
                <w:color w:val="auto"/>
                <w:kern w:val="0"/>
                <w:sz w:val="18"/>
                <w:szCs w:val="18"/>
                <w:lang w:val="en-US" w:eastAsia="zh-CN"/>
              </w:rPr>
              <w:t>2024年5月节水宣传周和</w:t>
            </w:r>
            <w:r>
              <w:rPr>
                <w:rFonts w:hint="eastAsia" w:ascii="宋体" w:hAnsi="宋体" w:cs="宋体"/>
                <w:color w:val="auto"/>
                <w:kern w:val="0"/>
                <w:sz w:val="18"/>
                <w:szCs w:val="18"/>
              </w:rPr>
              <w:t>"12.4"</w:t>
            </w:r>
            <w:r>
              <w:rPr>
                <w:rFonts w:hint="eastAsia" w:ascii="宋体" w:hAnsi="宋体" w:cs="宋体"/>
                <w:color w:val="auto"/>
                <w:kern w:val="0"/>
                <w:sz w:val="18"/>
                <w:szCs w:val="18"/>
                <w:lang w:val="en-US" w:eastAsia="zh-CN"/>
              </w:rPr>
              <w:t>宪法</w:t>
            </w:r>
            <w:r>
              <w:rPr>
                <w:rFonts w:hint="eastAsia" w:ascii="宋体" w:hAnsi="宋体" w:cs="宋体"/>
                <w:color w:val="auto"/>
                <w:kern w:val="0"/>
                <w:sz w:val="18"/>
                <w:szCs w:val="18"/>
              </w:rPr>
              <w:t>宣传日</w:t>
            </w:r>
            <w:r>
              <w:rPr>
                <w:rFonts w:hint="eastAsia" w:ascii="宋体" w:hAnsi="宋体" w:cs="宋体"/>
                <w:color w:val="auto"/>
                <w:kern w:val="0"/>
                <w:sz w:val="18"/>
                <w:szCs w:val="18"/>
                <w:lang w:eastAsia="zh-CN"/>
              </w:rPr>
              <w:t>，</w:t>
            </w:r>
            <w:r>
              <w:rPr>
                <w:rFonts w:hint="eastAsia" w:ascii="宋体" w:hAnsi="宋体" w:cs="宋体"/>
                <w:color w:val="auto"/>
                <w:kern w:val="0"/>
                <w:sz w:val="18"/>
                <w:szCs w:val="18"/>
                <w:lang w:val="en-US" w:eastAsia="zh-CN"/>
              </w:rPr>
              <w:t>分别开展进村开展全面宣传。</w:t>
            </w:r>
          </w:p>
          <w:p>
            <w:pPr>
              <w:widowControl/>
              <w:spacing w:line="240" w:lineRule="exact"/>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利用北京通州发布头条号（今日头条平台），</w:t>
            </w:r>
            <w:r>
              <w:rPr>
                <w:rFonts w:hint="eastAsia" w:ascii="宋体" w:hAnsi="宋体" w:cs="宋体"/>
                <w:color w:val="auto"/>
                <w:kern w:val="0"/>
                <w:sz w:val="18"/>
                <w:szCs w:val="18"/>
                <w:lang w:eastAsia="zh-CN"/>
              </w:rPr>
              <w:t>刊发</w:t>
            </w:r>
            <w:r>
              <w:rPr>
                <w:rFonts w:hint="eastAsia" w:ascii="宋体" w:hAnsi="宋体" w:cs="宋体"/>
                <w:color w:val="auto"/>
                <w:kern w:val="0"/>
                <w:sz w:val="18"/>
                <w:szCs w:val="18"/>
                <w:lang w:val="en-US" w:eastAsia="zh-CN"/>
              </w:rPr>
              <w:t>2条宣传稿件，进行多渠道宣传。</w:t>
            </w:r>
            <w:r>
              <w:rPr>
                <w:rFonts w:hint="eastAsia" w:ascii="宋体" w:hAnsi="宋体" w:cs="宋体"/>
                <w:color w:val="auto"/>
                <w:kern w:val="0"/>
                <w:sz w:val="18"/>
                <w:szCs w:val="18"/>
                <w:lang w:eastAsia="zh-CN"/>
              </w:rPr>
              <w:br w:type="textWrapping"/>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8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auto"/>
                <w:kern w:val="0"/>
                <w:sz w:val="18"/>
                <w:szCs w:val="18"/>
              </w:rPr>
              <w:t>指标1：</w:t>
            </w:r>
            <w:r>
              <w:rPr>
                <w:rFonts w:hint="eastAsia" w:ascii="宋体" w:hAnsi="宋体" w:cs="宋体"/>
                <w:color w:val="auto"/>
                <w:kern w:val="0"/>
                <w:sz w:val="18"/>
                <w:szCs w:val="18"/>
                <w:lang w:eastAsia="zh-CN"/>
              </w:rPr>
              <w:t>宣传品</w:t>
            </w:r>
            <w:r>
              <w:rPr>
                <w:rFonts w:hint="eastAsia" w:ascii="宋体" w:hAnsi="宋体" w:cs="宋体"/>
                <w:color w:val="auto"/>
                <w:kern w:val="0"/>
                <w:sz w:val="18"/>
                <w:szCs w:val="18"/>
                <w:lang w:val="en-US" w:eastAsia="zh-CN"/>
              </w:rPr>
              <w:t>订购</w:t>
            </w:r>
            <w:r>
              <w:rPr>
                <w:rFonts w:hint="eastAsia" w:ascii="宋体" w:hAnsi="宋体" w:cs="宋体"/>
                <w:color w:val="auto"/>
                <w:kern w:val="0"/>
                <w:sz w:val="18"/>
                <w:szCs w:val="18"/>
                <w:lang w:eastAsia="zh-CN"/>
              </w:rPr>
              <w:t>种类</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w:t>
            </w:r>
            <w:r>
              <w:rPr>
                <w:rFonts w:hint="eastAsia" w:ascii="宋体" w:hAnsi="宋体" w:cs="宋体"/>
                <w:color w:val="auto"/>
                <w:kern w:val="0"/>
                <w:sz w:val="18"/>
                <w:szCs w:val="18"/>
                <w:lang w:val="en-US" w:eastAsia="zh-CN"/>
              </w:rPr>
              <w:t>5种</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11种</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8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1086"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lang w:val="en-US" w:eastAsia="zh-CN"/>
              </w:rPr>
            </w:pPr>
            <w:r>
              <w:rPr>
                <w:rFonts w:hint="eastAsia" w:ascii="宋体" w:hAnsi="宋体" w:cs="宋体"/>
                <w:color w:val="auto"/>
                <w:kern w:val="0"/>
                <w:sz w:val="18"/>
                <w:szCs w:val="18"/>
              </w:rPr>
              <w:t>指标</w:t>
            </w:r>
            <w:r>
              <w:rPr>
                <w:rFonts w:hint="eastAsia" w:ascii="宋体" w:hAnsi="宋体" w:cs="宋体"/>
                <w:color w:val="auto"/>
                <w:kern w:val="0"/>
                <w:sz w:val="18"/>
                <w:szCs w:val="18"/>
                <w:lang w:val="en-US" w:eastAsia="zh-CN"/>
              </w:rPr>
              <w:t>2</w:t>
            </w:r>
            <w:r>
              <w:rPr>
                <w:rFonts w:hint="eastAsia" w:ascii="宋体" w:hAnsi="宋体" w:cs="宋体"/>
                <w:color w:val="auto"/>
                <w:kern w:val="0"/>
                <w:sz w:val="18"/>
                <w:szCs w:val="18"/>
              </w:rPr>
              <w:t>：</w:t>
            </w:r>
            <w:r>
              <w:rPr>
                <w:rFonts w:hint="eastAsia" w:ascii="宋体" w:hAnsi="宋体" w:cs="宋体"/>
                <w:color w:val="auto"/>
                <w:kern w:val="0"/>
                <w:sz w:val="18"/>
                <w:szCs w:val="18"/>
                <w:lang w:eastAsia="zh-CN"/>
              </w:rPr>
              <w:t>宣传品</w:t>
            </w:r>
            <w:r>
              <w:rPr>
                <w:rFonts w:hint="eastAsia" w:ascii="宋体" w:hAnsi="宋体" w:cs="宋体"/>
                <w:color w:val="auto"/>
                <w:kern w:val="0"/>
                <w:sz w:val="18"/>
                <w:szCs w:val="18"/>
                <w:lang w:val="en-US" w:eastAsia="zh-CN"/>
              </w:rPr>
              <w:t>订购</w:t>
            </w:r>
          </w:p>
          <w:p>
            <w:pPr>
              <w:widowControl/>
              <w:spacing w:line="240" w:lineRule="exact"/>
              <w:jc w:val="left"/>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auto"/>
                <w:kern w:val="0"/>
                <w:sz w:val="18"/>
                <w:szCs w:val="18"/>
                <w:lang w:eastAsia="zh-CN"/>
              </w:rPr>
              <w:t>数量</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w:t>
            </w:r>
            <w:r>
              <w:rPr>
                <w:rFonts w:hint="eastAsia" w:ascii="宋体" w:hAnsi="宋体" w:cs="宋体"/>
                <w:color w:val="auto"/>
                <w:kern w:val="0"/>
                <w:sz w:val="18"/>
                <w:szCs w:val="18"/>
                <w:lang w:val="en-US" w:eastAsia="zh-CN"/>
              </w:rPr>
              <w:t>1万件</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14766件</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7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186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color w:val="auto"/>
                <w:kern w:val="0"/>
                <w:sz w:val="18"/>
                <w:szCs w:val="18"/>
              </w:rPr>
            </w:pPr>
            <w:r>
              <w:rPr>
                <w:rFonts w:hint="eastAsia" w:ascii="宋体" w:hAnsi="宋体" w:cs="宋体"/>
                <w:color w:val="auto"/>
                <w:kern w:val="0"/>
                <w:sz w:val="18"/>
                <w:szCs w:val="18"/>
                <w:lang w:val="en-US" w:eastAsia="zh-CN"/>
              </w:rPr>
              <w:t>指标1：宣传品符合国家标准、行业标准，无国家标准、行业标准的，应不低于一般同类商品的通用标准</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仿宋_GB2312" w:hAnsi="宋体" w:eastAsia="仿宋_GB2312" w:cs="宋体"/>
                <w:color w:val="000000" w:themeColor="text1"/>
                <w:kern w:val="0"/>
                <w:szCs w:val="21"/>
                <w:lang w:val="en-US" w:eastAsia="zh-CN"/>
                <w14:textFill>
                  <w14:solidFill>
                    <w14:schemeClr w14:val="tx1"/>
                  </w14:solidFill>
                </w14:textFill>
              </w:rPr>
              <w:t>质量符合标准</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仿宋_GB2312" w:hAnsi="宋体" w:eastAsia="仿宋_GB2312" w:cs="宋体"/>
                <w:color w:val="000000" w:themeColor="text1"/>
                <w:kern w:val="0"/>
                <w:szCs w:val="21"/>
                <w:lang w:val="en-US" w:eastAsia="zh-CN"/>
                <w14:textFill>
                  <w14:solidFill>
                    <w14:schemeClr w14:val="tx1"/>
                  </w14:solidFill>
                </w14:textFill>
              </w:rPr>
              <w:t>质量符合标准</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134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left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指标2：宣传品无毒无害，是全新的、未使用过的</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仿宋_GB2312" w:hAnsi="宋体" w:eastAsia="仿宋_GB2312" w:cs="宋体"/>
                <w:color w:val="000000" w:themeColor="text1"/>
                <w:kern w:val="0"/>
                <w:szCs w:val="21"/>
                <w:lang w:val="en-US" w:eastAsia="zh-CN"/>
                <w14:textFill>
                  <w14:solidFill>
                    <w14:schemeClr w14:val="tx1"/>
                  </w14:solidFill>
                </w14:textFill>
              </w:rPr>
              <w:t>宣传品无毒无害，是全新的</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仿宋_GB2312" w:hAnsi="宋体" w:eastAsia="仿宋_GB2312" w:cs="宋体"/>
                <w:color w:val="000000" w:themeColor="text1"/>
                <w:kern w:val="0"/>
                <w:szCs w:val="21"/>
                <w:lang w:val="en-US" w:eastAsia="zh-CN"/>
                <w14:textFill>
                  <w14:solidFill>
                    <w14:schemeClr w14:val="tx1"/>
                  </w14:solidFill>
                </w14:textFill>
              </w:rPr>
              <w:t>宣传品无毒无害，是全新的</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4</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4</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p>
        </w:tc>
      </w:tr>
      <w:tr>
        <w:tblPrEx>
          <w:tblCellMar>
            <w:top w:w="0" w:type="dxa"/>
            <w:left w:w="108" w:type="dxa"/>
            <w:bottom w:w="0" w:type="dxa"/>
            <w:right w:w="108" w:type="dxa"/>
          </w:tblCellMar>
        </w:tblPrEx>
        <w:trPr>
          <w:trHeight w:val="123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指标3：宣传品具有合法的授权生产或销售</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仿宋_GB2312" w:hAnsi="宋体" w:eastAsia="仿宋_GB2312" w:cs="宋体"/>
                <w:color w:val="000000" w:themeColor="text1"/>
                <w:kern w:val="0"/>
                <w:szCs w:val="21"/>
                <w:lang w:val="en-US" w:eastAsia="zh-CN"/>
                <w14:textFill>
                  <w14:solidFill>
                    <w14:schemeClr w14:val="tx1"/>
                  </w14:solidFill>
                </w14:textFill>
              </w:rPr>
              <w:t>具有合法的授权生产或销售</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仿宋_GB2312" w:hAnsi="宋体" w:eastAsia="仿宋_GB2312" w:cs="宋体"/>
                <w:color w:val="000000" w:themeColor="text1"/>
                <w:kern w:val="0"/>
                <w:szCs w:val="21"/>
                <w:lang w:val="en-US" w:eastAsia="zh-CN"/>
                <w14:textFill>
                  <w14:solidFill>
                    <w14:schemeClr w14:val="tx1"/>
                  </w14:solidFill>
                </w14:textFill>
              </w:rPr>
              <w:t>具有合法的授权生产或销售</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p>
        </w:tc>
      </w:tr>
      <w:tr>
        <w:tblPrEx>
          <w:tblCellMar>
            <w:top w:w="0" w:type="dxa"/>
            <w:left w:w="108" w:type="dxa"/>
            <w:bottom w:w="0" w:type="dxa"/>
            <w:right w:w="108" w:type="dxa"/>
          </w:tblCellMar>
        </w:tblPrEx>
        <w:trPr>
          <w:trHeight w:val="144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时效</w:t>
            </w:r>
            <w:r>
              <w:rPr>
                <w:rFonts w:hint="eastAsia" w:ascii="宋体" w:hAnsi="宋体" w:cs="宋体"/>
                <w:color w:val="auto"/>
                <w:kern w:val="0"/>
                <w:sz w:val="18"/>
                <w:szCs w:val="18"/>
              </w:rPr>
              <w:t>指标</w:t>
            </w: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lang w:val="en-US" w:eastAsia="zh-CN"/>
              </w:rPr>
              <w:t>指标1：宣传品按照交付时间要求，送至指定地点</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仿宋_GB2312" w:hAnsi="宋体" w:eastAsia="仿宋_GB2312" w:cs="宋体"/>
                <w:color w:val="000000" w:themeColor="text1"/>
                <w:kern w:val="0"/>
                <w:szCs w:val="21"/>
                <w:lang w:eastAsia="zh-CN"/>
                <w14:textFill>
                  <w14:solidFill>
                    <w14:schemeClr w14:val="tx1"/>
                  </w14:solidFill>
                </w14:textFill>
              </w:rPr>
              <w:t>按时交付</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仿宋_GB2312" w:hAnsi="宋体" w:eastAsia="仿宋_GB2312" w:cs="宋体"/>
                <w:color w:val="000000" w:themeColor="text1"/>
                <w:kern w:val="0"/>
                <w:szCs w:val="21"/>
                <w:lang w:eastAsia="zh-CN"/>
                <w14:textFill>
                  <w14:solidFill>
                    <w14:schemeClr w14:val="tx1"/>
                  </w14:solidFill>
                </w14:textFill>
              </w:rPr>
              <w:t>按时交付</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仿宋_GB2312" w:hAnsi="宋体" w:eastAsia="仿宋_GB2312" w:cs="宋体"/>
                <w:color w:val="000000" w:themeColor="text1"/>
                <w:kern w:val="0"/>
                <w:szCs w:val="21"/>
                <w:lang w:val="en-US" w:eastAsia="zh-CN"/>
                <w14:textFill>
                  <w14:solidFill>
                    <w14:schemeClr w14:val="tx1"/>
                  </w14:solidFill>
                </w14:textFill>
              </w:rPr>
              <w:t>15</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仿宋_GB2312" w:hAnsi="宋体" w:eastAsia="仿宋_GB2312" w:cs="宋体"/>
                <w:color w:val="000000" w:themeColor="text1"/>
                <w:kern w:val="0"/>
                <w:szCs w:val="21"/>
                <w:lang w:val="en-US" w:eastAsia="zh-CN"/>
                <w14:textFill>
                  <w14:solidFill>
                    <w14:schemeClr w14:val="tx1"/>
                  </w14:solidFill>
                </w14:textFill>
              </w:rPr>
              <w:t>15</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1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指标1：预算控制数</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w:t>
            </w:r>
            <w:r>
              <w:rPr>
                <w:rFonts w:hint="eastAsia" w:ascii="宋体" w:hAnsi="宋体" w:cs="宋体"/>
                <w:color w:val="auto"/>
                <w:kern w:val="0"/>
                <w:sz w:val="18"/>
                <w:szCs w:val="18"/>
              </w:rPr>
              <w:t>万</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r>
              <w:rPr>
                <w:rFonts w:hint="eastAsia" w:ascii="宋体" w:hAnsi="宋体" w:cs="宋体"/>
                <w:color w:val="auto"/>
                <w:kern w:val="0"/>
                <w:sz w:val="18"/>
                <w:szCs w:val="18"/>
              </w:rPr>
              <w:t>万</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375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社会</w:t>
            </w:r>
            <w:r>
              <w:rPr>
                <w:rFonts w:hint="eastAsia" w:ascii="宋体" w:hAnsi="宋体" w:cs="宋体"/>
                <w:color w:val="auto"/>
                <w:kern w:val="0"/>
                <w:sz w:val="18"/>
                <w:szCs w:val="18"/>
              </w:rPr>
              <w:t>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指标1：普及水法律法规意识，水事违法案件逐年减少，效果显著</w:t>
            </w:r>
          </w:p>
        </w:tc>
        <w:tc>
          <w:tcPr>
            <w:tcW w:w="109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bookmarkStart w:id="1" w:name="OLE_LINK2"/>
            <w:r>
              <w:rPr>
                <w:rFonts w:hint="eastAsia" w:ascii="宋体" w:hAnsi="宋体" w:cs="宋体"/>
                <w:color w:val="auto"/>
                <w:kern w:val="0"/>
                <w:sz w:val="18"/>
                <w:szCs w:val="18"/>
                <w:lang w:val="en-US" w:eastAsia="zh-CN"/>
              </w:rPr>
              <w:t>有效普及</w:t>
            </w:r>
            <w:bookmarkEnd w:id="1"/>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有效普及</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28</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70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1869"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指标1：群众对水法律法规的宣传知晓率</w:t>
            </w:r>
          </w:p>
        </w:tc>
        <w:tc>
          <w:tcPr>
            <w:tcW w:w="109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85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80%</w:t>
            </w:r>
          </w:p>
        </w:tc>
        <w:tc>
          <w:tcPr>
            <w:tcW w:w="52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79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8</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rPr>
              <w:t>对内容讲解、交流时间不够充足；应设计更多</w:t>
            </w:r>
            <w:r>
              <w:rPr>
                <w:rFonts w:hint="eastAsia" w:ascii="宋体" w:hAnsi="宋体" w:cs="宋体"/>
                <w:color w:val="auto"/>
                <w:kern w:val="0"/>
                <w:sz w:val="18"/>
                <w:szCs w:val="18"/>
                <w:lang w:val="en-US" w:eastAsia="zh-CN"/>
              </w:rPr>
              <w:t>交流环节，开展多元化、针对性强的线下普法活动。</w:t>
            </w:r>
          </w:p>
        </w:tc>
      </w:tr>
      <w:tr>
        <w:tblPrEx>
          <w:tblCellMar>
            <w:top w:w="0" w:type="dxa"/>
            <w:left w:w="108" w:type="dxa"/>
            <w:bottom w:w="0" w:type="dxa"/>
            <w:right w:w="108" w:type="dxa"/>
          </w:tblCellMar>
        </w:tblPrEx>
        <w:trPr>
          <w:trHeight w:val="696" w:hRule="exact"/>
          <w:jc w:val="center"/>
        </w:trPr>
        <w:tc>
          <w:tcPr>
            <w:tcW w:w="6452"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79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96</w:t>
            </w:r>
          </w:p>
        </w:tc>
        <w:tc>
          <w:tcPr>
            <w:tcW w:w="115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填报注意事项：</w:t>
      </w:r>
    </w:p>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1.</w:t>
      </w:r>
      <w:r>
        <w:rPr>
          <w:rFonts w:hint="eastAsia" w:ascii="宋体" w:hAnsi="宋体" w:eastAsia="宋体" w:cs="宋体"/>
          <w:color w:val="auto"/>
          <w:kern w:val="0"/>
          <w:sz w:val="22"/>
          <w:szCs w:val="24"/>
        </w:rPr>
        <w:t>评价方法说明</w:t>
      </w:r>
      <w:r>
        <w:rPr>
          <w:rFonts w:hint="eastAsia" w:ascii="宋体" w:hAnsi="宋体" w:cs="宋体"/>
          <w:color w:val="auto"/>
          <w:kern w:val="0"/>
          <w:sz w:val="22"/>
          <w:szCs w:val="24"/>
          <w:lang w:eastAsia="zh-CN"/>
        </w:rPr>
        <w:t>：</w:t>
      </w:r>
      <w:r>
        <w:rPr>
          <w:rFonts w:hint="eastAsia" w:ascii="宋体" w:hAnsi="宋体" w:eastAsia="宋体" w:cs="宋体"/>
          <w:color w:val="auto"/>
          <w:kern w:val="0"/>
          <w:sz w:val="22"/>
          <w:szCs w:val="24"/>
        </w:rPr>
        <w:t>采取打分的形式，满分为100分。单位自评指标的权重由各单位根据项目实际情况确定。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2.</w:t>
      </w:r>
      <w:r>
        <w:rPr>
          <w:rFonts w:hint="eastAsia" w:ascii="宋体" w:hAnsi="宋体" w:eastAsia="宋体" w:cs="宋体"/>
          <w:color w:val="auto"/>
          <w:kern w:val="0"/>
          <w:sz w:val="22"/>
          <w:szCs w:val="24"/>
        </w:rPr>
        <w:t>评价的得分评定方法分为两类：一是定量指标。与年初指标值相比，完成指标值的，记该指标所赋全部分值；如果是由于年初指标值设定明显偏低造成的，要按照偏离度适度调减分值；未完成指标值的，按照完成值在指标值中所占比例记分</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rPr>
        <w:t>得分一档最高不能超过该指标分值上限。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二是定性指标。</w:t>
      </w:r>
      <w:r>
        <w:rPr>
          <w:rFonts w:hint="eastAsia" w:ascii="宋体" w:hAnsi="宋体" w:eastAsia="宋体" w:cs="宋体"/>
          <w:color w:val="auto"/>
          <w:kern w:val="0"/>
          <w:sz w:val="22"/>
          <w:szCs w:val="24"/>
          <w:highlight w:val="none"/>
        </w:rPr>
        <w:t>定性指标得分按照以下方法评定：根据指标完成情况分为达成年度指标、部分达成年度指标且有一定效果、未达成年度指标且效果较差3档，分别按照该指标对应分值区间100%-80%（含80%）、80-60%（含60%）、60%-0%合理确定分值。</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highlight w:val="none"/>
        </w:rPr>
      </w:pPr>
      <w:r>
        <w:rPr>
          <w:rFonts w:hint="eastAsia" w:ascii="宋体" w:hAnsi="宋体" w:eastAsia="宋体" w:cs="宋体"/>
          <w:color w:val="auto"/>
          <w:kern w:val="0"/>
          <w:sz w:val="22"/>
          <w:szCs w:val="24"/>
          <w:highlight w:val="none"/>
        </w:rPr>
        <w:t>各项绩效指标得分汇总成该项目自评的总分。</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3.</w:t>
      </w:r>
      <w:r>
        <w:rPr>
          <w:rFonts w:hint="eastAsia" w:ascii="宋体" w:hAnsi="宋体" w:eastAsia="宋体" w:cs="宋体"/>
          <w:color w:val="auto"/>
          <w:kern w:val="0"/>
          <w:sz w:val="22"/>
          <w:szCs w:val="24"/>
        </w:rPr>
        <w:t>各部门在收集、分析上述绩效执行信息的基础上，</w:t>
      </w:r>
      <w:r>
        <w:rPr>
          <w:rFonts w:hint="eastAsia" w:ascii="宋体" w:hAnsi="宋体" w:eastAsia="宋体" w:cs="宋体"/>
          <w:color w:val="auto"/>
          <w:kern w:val="0"/>
          <w:sz w:val="22"/>
          <w:szCs w:val="24"/>
          <w:lang w:val="en-US" w:eastAsia="zh-CN"/>
        </w:rPr>
        <w:t>针</w:t>
      </w:r>
      <w:r>
        <w:rPr>
          <w:rFonts w:hint="eastAsia" w:ascii="宋体" w:hAnsi="宋体" w:eastAsia="宋体" w:cs="宋体"/>
          <w:color w:val="auto"/>
          <w:kern w:val="0"/>
          <w:sz w:val="22"/>
          <w:szCs w:val="24"/>
        </w:rPr>
        <w:t>对未完成绩效目标及指标</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lang w:val="en-US" w:eastAsia="zh-CN"/>
        </w:rPr>
        <w:t>需</w:t>
      </w:r>
      <w:r>
        <w:rPr>
          <w:rFonts w:hint="eastAsia" w:ascii="宋体" w:hAnsi="宋体" w:eastAsia="宋体" w:cs="宋体"/>
          <w:color w:val="auto"/>
          <w:kern w:val="0"/>
          <w:sz w:val="22"/>
          <w:szCs w:val="24"/>
        </w:rPr>
        <w:t>在“偏差原因分析及改进措施”中</w:t>
      </w:r>
      <w:r>
        <w:rPr>
          <w:rFonts w:hint="eastAsia" w:ascii="宋体" w:hAnsi="宋体" w:eastAsia="宋体" w:cs="宋体"/>
          <w:color w:val="auto"/>
          <w:kern w:val="0"/>
          <w:sz w:val="22"/>
          <w:szCs w:val="24"/>
          <w:lang w:val="en-US" w:eastAsia="zh-CN"/>
        </w:rPr>
        <w:t>逐条分析</w:t>
      </w:r>
      <w:r>
        <w:rPr>
          <w:rFonts w:hint="eastAsia" w:ascii="宋体" w:hAnsi="宋体" w:eastAsia="宋体" w:cs="宋体"/>
          <w:color w:val="auto"/>
          <w:kern w:val="0"/>
          <w:sz w:val="22"/>
          <w:szCs w:val="24"/>
        </w:rPr>
        <w:t>说明偏离目标、不能完成目标的原因及拟采取的措施。</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4.</w:t>
      </w:r>
      <w:r>
        <w:rPr>
          <w:rFonts w:hint="eastAsia" w:ascii="宋体" w:hAnsi="宋体" w:cs="宋体"/>
          <w:color w:val="auto"/>
          <w:kern w:val="0"/>
          <w:sz w:val="22"/>
          <w:szCs w:val="24"/>
          <w:lang w:val="en-US" w:eastAsia="zh-CN"/>
        </w:rPr>
        <w:t>等级划分：</w:t>
      </w:r>
      <w:r>
        <w:rPr>
          <w:rFonts w:hint="eastAsia" w:ascii="宋体" w:hAnsi="宋体" w:eastAsia="宋体" w:cs="宋体"/>
          <w:color w:val="auto"/>
          <w:kern w:val="0"/>
          <w:sz w:val="22"/>
          <w:szCs w:val="24"/>
        </w:rPr>
        <w:t>90（含）-100分为</w:t>
      </w:r>
      <w:r>
        <w:rPr>
          <w:rFonts w:hint="eastAsia" w:ascii="宋体" w:hAnsi="宋体" w:eastAsia="宋体" w:cs="宋体"/>
          <w:color w:val="auto"/>
          <w:kern w:val="0"/>
          <w:sz w:val="22"/>
          <w:szCs w:val="24"/>
          <w:lang w:val="en-US" w:eastAsia="zh-CN"/>
        </w:rPr>
        <w:t>优</w:t>
      </w:r>
      <w:r>
        <w:rPr>
          <w:rFonts w:hint="eastAsia" w:ascii="宋体" w:hAnsi="宋体" w:eastAsia="宋体" w:cs="宋体"/>
          <w:color w:val="auto"/>
          <w:kern w:val="0"/>
          <w:sz w:val="22"/>
          <w:szCs w:val="24"/>
        </w:rPr>
        <w:t>、80（含）-90分为</w:t>
      </w:r>
      <w:r>
        <w:rPr>
          <w:rFonts w:hint="eastAsia" w:ascii="宋体" w:hAnsi="宋体" w:eastAsia="宋体" w:cs="宋体"/>
          <w:color w:val="auto"/>
          <w:kern w:val="0"/>
          <w:sz w:val="22"/>
          <w:szCs w:val="24"/>
          <w:lang w:val="en-US" w:eastAsia="zh-CN"/>
        </w:rPr>
        <w:t>良</w:t>
      </w:r>
      <w:r>
        <w:rPr>
          <w:rFonts w:hint="eastAsia" w:ascii="宋体" w:hAnsi="宋体" w:eastAsia="宋体" w:cs="宋体"/>
          <w:color w:val="auto"/>
          <w:kern w:val="0"/>
          <w:sz w:val="22"/>
          <w:szCs w:val="24"/>
        </w:rPr>
        <w:t>、60（含）-80分为</w:t>
      </w:r>
      <w:r>
        <w:rPr>
          <w:rFonts w:hint="eastAsia" w:ascii="宋体" w:hAnsi="宋体" w:cs="宋体"/>
          <w:color w:val="auto"/>
          <w:kern w:val="0"/>
          <w:sz w:val="22"/>
          <w:szCs w:val="24"/>
          <w:lang w:val="en-US" w:eastAsia="zh-CN"/>
        </w:rPr>
        <w:t>中</w:t>
      </w:r>
      <w:r>
        <w:rPr>
          <w:rFonts w:hint="eastAsia" w:ascii="宋体" w:hAnsi="宋体" w:eastAsia="宋体" w:cs="宋体"/>
          <w:color w:val="auto"/>
          <w:kern w:val="0"/>
          <w:sz w:val="22"/>
          <w:szCs w:val="24"/>
        </w:rPr>
        <w:t>、60分以下为差。</w:t>
      </w:r>
    </w:p>
    <w:p>
      <w:pPr>
        <w:spacing w:line="600" w:lineRule="exact"/>
      </w:pPr>
    </w:p>
    <w:p>
      <w:pPr>
        <w:keepNext w:val="0"/>
        <w:keepLines w:val="0"/>
        <w:pageBreakBefore w:val="0"/>
        <w:numPr>
          <w:ilvl w:val="0"/>
          <w:numId w:val="0"/>
        </w:numPr>
        <w:pBdr>
          <w:bottom w:val="single" w:color="FFFFFF" w:sz="4" w:space="17"/>
        </w:pBdr>
        <w:kinsoku/>
        <w:wordWrap/>
        <w:overflowPunct/>
        <w:topLinePunct w:val="0"/>
        <w:autoSpaceDE/>
        <w:autoSpaceDN/>
        <w:bidi w:val="0"/>
        <w:adjustRightInd/>
        <w:snapToGrid/>
        <w:spacing w:line="560" w:lineRule="exact"/>
        <w:ind w:firstLine="486" w:firstLineChars="0"/>
        <w:textAlignment w:val="auto"/>
        <w:rPr>
          <w:rFonts w:hint="eastAsia" w:ascii="仿宋_GB2312" w:hAnsi="Calibri" w:eastAsia="仿宋_GB2312" w:cs="Times New Roman"/>
          <w:b w:val="0"/>
          <w:bCs w:val="0"/>
          <w:color w:val="auto"/>
          <w:kern w:val="2"/>
          <w:sz w:val="32"/>
          <w:szCs w:val="32"/>
          <w:highlight w:val="none"/>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444FAB"/>
    <w:rsid w:val="4BD87510"/>
    <w:rsid w:val="50444FAB"/>
    <w:rsid w:val="56452EBA"/>
    <w:rsid w:val="5698345E"/>
    <w:rsid w:val="63951AFE"/>
    <w:rsid w:val="707A217C"/>
    <w:rsid w:val="755D3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pacing w:line="240" w:lineRule="atLeast"/>
      <w:jc w:val="center"/>
    </w:pPr>
    <w:rPr>
      <w:sz w:val="18"/>
    </w:rPr>
  </w:style>
  <w:style w:type="paragraph" w:styleId="3">
    <w:name w:val="Normal Indent"/>
    <w:basedOn w:val="1"/>
    <w:next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7</TotalTime>
  <ScaleCrop>false</ScaleCrop>
  <LinksUpToDate>false</LinksUpToDate>
  <CharactersWithSpaces>0</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2025-02-18T09:02:00Z</dcterms:created>
  <dc:creator>Administrator</dc:creator>
  <cp:lastModifiedBy>Administrator</cp:lastModifiedBy>
  <cp:lastPrinted>2025-02-26T09:01:00Z</cp:lastPrinted>
  <dcterms:modified xsi:type="dcterms:W3CDTF">2025-09-09T01:15:14Z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B45436BCB4654252AA3FCB920D5155AA</vt:lpwstr>
  </property>
</Properties>
</file>